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43922F48"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Case study</w:t>
      </w:r>
    </w:p>
    <w:tbl>
      <w:tblPr>
        <w:tblStyle w:val="Tablaconcuadrcu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30B77">
        <w:trPr>
          <w:trHeight w:val="971"/>
        </w:trPr>
        <w:tc>
          <w:tcPr>
            <w:tcW w:w="2687" w:type="dxa"/>
            <w:shd w:val="clear" w:color="auto" w:fill="AB7ADC"/>
          </w:tcPr>
          <w:p w14:paraId="438D67E8"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Title of Case study / Good practice</w:t>
            </w:r>
          </w:p>
        </w:tc>
        <w:tc>
          <w:tcPr>
            <w:tcW w:w="6567" w:type="dxa"/>
            <w:shd w:val="clear" w:color="auto" w:fill="FFFFFF" w:themeFill="background1"/>
          </w:tcPr>
          <w:p w14:paraId="22D7FDCF" w14:textId="6EF64CB8" w:rsidR="00F30B77" w:rsidRPr="00F30B77" w:rsidRDefault="003028D7"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Social Catering “El Avío”</w:t>
            </w:r>
          </w:p>
          <w:p w14:paraId="5330AF76"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F30B77">
        <w:trPr>
          <w:trHeight w:val="636"/>
        </w:trPr>
        <w:tc>
          <w:tcPr>
            <w:tcW w:w="2687" w:type="dxa"/>
            <w:shd w:val="clear" w:color="auto" w:fill="AB7ADC"/>
          </w:tcPr>
          <w:p w14:paraId="30E0314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Keywords (meta tag)</w:t>
            </w:r>
          </w:p>
        </w:tc>
        <w:tc>
          <w:tcPr>
            <w:tcW w:w="6567" w:type="dxa"/>
            <w:shd w:val="clear" w:color="auto" w:fill="FFFFFF" w:themeFill="background1"/>
          </w:tcPr>
          <w:p w14:paraId="23CFB3D5" w14:textId="491DC248" w:rsidR="00F30B77" w:rsidRPr="00F30B77" w:rsidRDefault="003028D7"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Social entrepreneurship, catering, </w:t>
            </w:r>
            <w:r w:rsidR="009A6943">
              <w:rPr>
                <w:rFonts w:asciiTheme="minorHAnsi" w:hAnsiTheme="minorHAnsi" w:cstheme="minorHAnsi"/>
                <w:color w:val="244061" w:themeColor="accent1" w:themeShade="80"/>
                <w:sz w:val="24"/>
                <w:szCs w:val="24"/>
                <w:lang w:val="en-GB"/>
              </w:rPr>
              <w:t>women, association</w:t>
            </w:r>
          </w:p>
          <w:p w14:paraId="7232C4F2"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7EF91B33" w14:textId="77777777" w:rsidTr="00F30B77">
        <w:trPr>
          <w:trHeight w:val="636"/>
        </w:trPr>
        <w:tc>
          <w:tcPr>
            <w:tcW w:w="2687" w:type="dxa"/>
            <w:shd w:val="clear" w:color="auto" w:fill="AB7ADC"/>
          </w:tcPr>
          <w:p w14:paraId="2D961D86"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Provided by</w:t>
            </w:r>
          </w:p>
        </w:tc>
        <w:tc>
          <w:tcPr>
            <w:tcW w:w="6567" w:type="dxa"/>
            <w:shd w:val="clear" w:color="auto" w:fill="FFFFFF" w:themeFill="background1"/>
          </w:tcPr>
          <w:p w14:paraId="72F774E5" w14:textId="243D4F73" w:rsidR="00F30B77" w:rsidRPr="00F30B77" w:rsidRDefault="00E6515C"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359561F9"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Language</w:t>
            </w:r>
          </w:p>
        </w:tc>
        <w:tc>
          <w:tcPr>
            <w:tcW w:w="6567" w:type="dxa"/>
            <w:shd w:val="clear" w:color="auto" w:fill="FFFFFF" w:themeFill="background1"/>
            <w:vAlign w:val="center"/>
          </w:tcPr>
          <w:p w14:paraId="3EDC5D68" w14:textId="77777777" w:rsidR="00F30B77" w:rsidRPr="00F30B77" w:rsidRDefault="00F30B77" w:rsidP="00F30B77">
            <w:pPr>
              <w:rPr>
                <w:rFonts w:asciiTheme="minorHAnsi" w:hAnsiTheme="minorHAnsi" w:cstheme="minorHAnsi"/>
                <w:sz w:val="24"/>
                <w:szCs w:val="24"/>
                <w:lang w:val="en-GB"/>
              </w:rPr>
            </w:pPr>
            <w:r w:rsidRPr="00F30B77">
              <w:rPr>
                <w:rFonts w:asciiTheme="minorHAnsi" w:hAnsiTheme="minorHAnsi" w:cstheme="minorHAnsi"/>
                <w:sz w:val="24"/>
                <w:szCs w:val="24"/>
                <w:lang w:val="en-GB"/>
              </w:rPr>
              <w:t>ENGLISH</w:t>
            </w: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77777777" w:rsidR="00F30B77" w:rsidRPr="00F30B77" w:rsidRDefault="00F30B77" w:rsidP="00F30B77">
            <w:pPr>
              <w:rPr>
                <w:rFonts w:asciiTheme="minorHAnsi" w:hAnsiTheme="minorHAnsi" w:cstheme="minorHAnsi"/>
                <w:b/>
                <w:color w:val="FFFFFF"/>
                <w:sz w:val="24"/>
                <w:szCs w:val="24"/>
                <w:lang w:val="en-GB"/>
              </w:rPr>
            </w:pPr>
            <w:r w:rsidRPr="00F30B77">
              <w:rPr>
                <w:rFonts w:asciiTheme="minorHAnsi" w:hAnsiTheme="minorHAnsi" w:cstheme="minorHAnsi"/>
                <w:b/>
                <w:color w:val="FFFFFF"/>
                <w:sz w:val="24"/>
                <w:szCs w:val="24"/>
                <w:lang w:val="en-GB"/>
              </w:rPr>
              <w:t>Case study</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F30B77">
        <w:trPr>
          <w:trHeight w:val="6345"/>
        </w:trPr>
        <w:tc>
          <w:tcPr>
            <w:tcW w:w="9254" w:type="dxa"/>
            <w:gridSpan w:val="2"/>
            <w:shd w:val="clear" w:color="auto" w:fill="auto"/>
          </w:tcPr>
          <w:p w14:paraId="1B0C0AD2" w14:textId="63A894AD" w:rsidR="003028D7" w:rsidRDefault="003028D7" w:rsidP="003028D7">
            <w:pPr>
              <w:pBdr>
                <w:top w:val="nil"/>
                <w:left w:val="nil"/>
                <w:bottom w:val="nil"/>
                <w:right w:val="nil"/>
                <w:between w:val="nil"/>
              </w:pBdr>
              <w:spacing w:line="276" w:lineRule="auto"/>
              <w:jc w:val="both"/>
              <w:rPr>
                <w:rFonts w:ascii="Calibri" w:eastAsia="Calibri" w:hAnsi="Calibri" w:cs="Calibri"/>
                <w:color w:val="000000"/>
                <w:sz w:val="24"/>
                <w:szCs w:val="24"/>
              </w:rPr>
            </w:pPr>
            <w:r w:rsidRPr="009A6943">
              <w:rPr>
                <w:rFonts w:ascii="Calibri" w:eastAsia="Calibri" w:hAnsi="Calibri" w:cs="Calibri"/>
                <w:color w:val="000000"/>
                <w:sz w:val="24"/>
                <w:szCs w:val="24"/>
                <w:lang w:val="en-GB"/>
              </w:rPr>
              <w:t xml:space="preserve">In 2010, in the rural area of Campo de Gibraltar, in the south of Spain, the Association "El Avío" was set up by 4 women at the beginning, with the aim of covering the needs of quality food at home in kindergartens and in the homes of dependent and elderly people in the area. </w:t>
            </w:r>
            <w:r w:rsidRPr="00011A56">
              <w:rPr>
                <w:rFonts w:ascii="Calibri" w:eastAsia="Calibri" w:hAnsi="Calibri" w:cs="Calibri"/>
                <w:color w:val="000000"/>
                <w:sz w:val="24"/>
                <w:szCs w:val="24"/>
              </w:rPr>
              <w:t>Thus, that same year, the 4 women started to provide catering services to Early Childhood Education centres, as a non-profit catering company</w:t>
            </w:r>
            <w:r>
              <w:rPr>
                <w:rFonts w:ascii="Calibri" w:eastAsia="Calibri" w:hAnsi="Calibri" w:cs="Calibri"/>
                <w:color w:val="000000"/>
                <w:sz w:val="24"/>
                <w:szCs w:val="24"/>
              </w:rPr>
              <w:t>.</w:t>
            </w:r>
          </w:p>
          <w:p w14:paraId="555C9673" w14:textId="77777777" w:rsidR="003028D7" w:rsidRDefault="003028D7" w:rsidP="003028D7">
            <w:pPr>
              <w:pBdr>
                <w:top w:val="nil"/>
                <w:left w:val="nil"/>
                <w:bottom w:val="nil"/>
                <w:right w:val="nil"/>
                <w:between w:val="nil"/>
              </w:pBdr>
              <w:spacing w:line="276" w:lineRule="auto"/>
              <w:jc w:val="both"/>
              <w:rPr>
                <w:rFonts w:ascii="Calibri" w:eastAsia="Calibri" w:hAnsi="Calibri" w:cs="Calibri"/>
                <w:color w:val="000000"/>
                <w:sz w:val="24"/>
                <w:szCs w:val="24"/>
              </w:rPr>
            </w:pPr>
          </w:p>
          <w:p w14:paraId="2EA9AAA0" w14:textId="77777777" w:rsidR="00FC699C" w:rsidRDefault="003028D7" w:rsidP="003028D7">
            <w:pPr>
              <w:pBdr>
                <w:top w:val="nil"/>
                <w:left w:val="nil"/>
                <w:bottom w:val="nil"/>
                <w:right w:val="nil"/>
                <w:between w:val="nil"/>
              </w:pBdr>
              <w:spacing w:line="276" w:lineRule="auto"/>
              <w:jc w:val="both"/>
              <w:rPr>
                <w:rFonts w:ascii="Calibri" w:eastAsia="Calibri" w:hAnsi="Calibri" w:cs="Calibri"/>
                <w:color w:val="000000"/>
                <w:sz w:val="24"/>
                <w:szCs w:val="24"/>
                <w:lang w:val="en-GB"/>
              </w:rPr>
            </w:pPr>
            <w:r w:rsidRPr="009A6943">
              <w:rPr>
                <w:rFonts w:ascii="Calibri" w:eastAsia="Calibri" w:hAnsi="Calibri" w:cs="Calibri"/>
                <w:color w:val="000000"/>
                <w:sz w:val="24"/>
                <w:szCs w:val="24"/>
                <w:lang w:val="en-GB"/>
              </w:rPr>
              <w:t>Years later, in 2013, the association was constituted as a women's association specifically for catering management, alleviating the workload traditionally associated with women while creating decent jobs, as some of the women working in the association were long-term unemployed and lacked specific training.</w:t>
            </w:r>
            <w:r w:rsidR="009A6943">
              <w:rPr>
                <w:rFonts w:ascii="Calibri" w:eastAsia="Calibri" w:hAnsi="Calibri" w:cs="Calibri"/>
                <w:color w:val="000000"/>
                <w:sz w:val="24"/>
                <w:szCs w:val="24"/>
                <w:lang w:val="en-GB"/>
              </w:rPr>
              <w:t xml:space="preserve"> </w:t>
            </w:r>
            <w:r w:rsidRPr="009A6943">
              <w:rPr>
                <w:rFonts w:ascii="Calibri" w:eastAsia="Calibri" w:hAnsi="Calibri" w:cs="Calibri"/>
                <w:color w:val="000000"/>
                <w:sz w:val="24"/>
                <w:szCs w:val="24"/>
                <w:lang w:val="en-GB"/>
              </w:rPr>
              <w:t>The association hired a professional chef to train the women for the industrial kitchen, and little by little they progressed, increasing both the number of people they fed and the number of female workers on the staff.</w:t>
            </w:r>
            <w:r w:rsidR="00FC699C">
              <w:rPr>
                <w:rFonts w:ascii="Calibri" w:eastAsia="Calibri" w:hAnsi="Calibri" w:cs="Calibri"/>
                <w:color w:val="000000"/>
                <w:sz w:val="24"/>
                <w:szCs w:val="24"/>
                <w:lang w:val="en-GB"/>
              </w:rPr>
              <w:t xml:space="preserve"> </w:t>
            </w:r>
            <w:r w:rsidRPr="009A6943">
              <w:rPr>
                <w:rFonts w:ascii="Calibri" w:eastAsia="Calibri" w:hAnsi="Calibri" w:cs="Calibri"/>
                <w:color w:val="000000"/>
                <w:sz w:val="24"/>
                <w:szCs w:val="24"/>
                <w:lang w:val="en-GB"/>
              </w:rPr>
              <w:t>As a result, they now have 13 women cooking, delivering and administrative staff, who each day deliver more than 500 meals a day to children and 80 to the elderly, dependents and immigrants.</w:t>
            </w:r>
          </w:p>
          <w:p w14:paraId="393F942F" w14:textId="77777777" w:rsidR="00FC699C" w:rsidRDefault="00FC699C" w:rsidP="003028D7">
            <w:pPr>
              <w:pBdr>
                <w:top w:val="nil"/>
                <w:left w:val="nil"/>
                <w:bottom w:val="nil"/>
                <w:right w:val="nil"/>
                <w:between w:val="nil"/>
              </w:pBdr>
              <w:spacing w:line="276" w:lineRule="auto"/>
              <w:jc w:val="both"/>
              <w:rPr>
                <w:rFonts w:ascii="Calibri" w:eastAsia="Calibri" w:hAnsi="Calibri" w:cs="Calibri"/>
                <w:color w:val="000000"/>
                <w:sz w:val="24"/>
                <w:szCs w:val="24"/>
                <w:lang w:val="en-GB"/>
              </w:rPr>
            </w:pPr>
          </w:p>
          <w:p w14:paraId="10D67FE3" w14:textId="2AE1F34D" w:rsidR="00F30B77" w:rsidRPr="009A6943" w:rsidRDefault="003028D7" w:rsidP="003028D7">
            <w:pPr>
              <w:pBdr>
                <w:top w:val="nil"/>
                <w:left w:val="nil"/>
                <w:bottom w:val="nil"/>
                <w:right w:val="nil"/>
                <w:between w:val="nil"/>
              </w:pBdr>
              <w:spacing w:line="276" w:lineRule="auto"/>
              <w:jc w:val="both"/>
              <w:rPr>
                <w:rFonts w:ascii="Calibri" w:eastAsia="Calibri" w:hAnsi="Calibri" w:cs="Calibri"/>
                <w:color w:val="000000"/>
                <w:sz w:val="24"/>
                <w:szCs w:val="24"/>
                <w:lang w:val="en-GB"/>
              </w:rPr>
            </w:pPr>
            <w:r w:rsidRPr="009A6943">
              <w:rPr>
                <w:rFonts w:ascii="Calibri" w:eastAsia="Calibri" w:hAnsi="Calibri" w:cs="Calibri"/>
                <w:color w:val="000000"/>
                <w:sz w:val="24"/>
                <w:szCs w:val="24"/>
                <w:lang w:val="en-GB"/>
              </w:rPr>
              <w:t>This case is a notable example of how rural women turned their role in society, which usually involves caring for children and elderly and dependent people, into a visible job through social entrepreneurship that not only contributes to the development of rural areas, but also improves the quality of life of rural women by offering them quality jobs and enabling new opportunities.</w:t>
            </w:r>
          </w:p>
        </w:tc>
      </w:tr>
      <w:tr w:rsidR="00F30B77" w:rsidRPr="00F30B77" w14:paraId="7A6D0831" w14:textId="77777777" w:rsidTr="00F30B77">
        <w:trPr>
          <w:trHeight w:val="475"/>
        </w:trPr>
        <w:tc>
          <w:tcPr>
            <w:tcW w:w="2687" w:type="dxa"/>
            <w:shd w:val="clear" w:color="auto" w:fill="AB7ADC"/>
            <w:vAlign w:val="center"/>
          </w:tcPr>
          <w:p w14:paraId="3E946BD4" w14:textId="77777777"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Reference Link (if any)</w:t>
            </w:r>
          </w:p>
        </w:tc>
        <w:tc>
          <w:tcPr>
            <w:tcW w:w="6567" w:type="dxa"/>
          </w:tcPr>
          <w:p w14:paraId="5EF9760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p w14:paraId="233319A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tc>
      </w:tr>
      <w:tr w:rsidR="00F30B77" w:rsidRPr="00F30B77" w14:paraId="0ECB3292" w14:textId="77777777" w:rsidTr="00F30B77">
        <w:trPr>
          <w:trHeight w:val="475"/>
        </w:trPr>
        <w:tc>
          <w:tcPr>
            <w:tcW w:w="2687" w:type="dxa"/>
            <w:shd w:val="clear" w:color="auto" w:fill="AB7ADC"/>
            <w:vAlign w:val="center"/>
          </w:tcPr>
          <w:p w14:paraId="43E033C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Type of material</w:t>
            </w:r>
          </w:p>
        </w:tc>
        <w:tc>
          <w:tcPr>
            <w:tcW w:w="6567" w:type="dxa"/>
          </w:tcPr>
          <w:p w14:paraId="0B2FAD1E" w14:textId="77777777" w:rsidR="00F30B77" w:rsidRPr="00F30B77" w:rsidRDefault="00F30B77" w:rsidP="00F30B77">
            <w:pPr>
              <w:textAlignment w:val="baseline"/>
              <w:rPr>
                <w:rFonts w:asciiTheme="minorHAnsi" w:hAnsiTheme="minorHAnsi" w:cstheme="minorHAnsi"/>
                <w:sz w:val="24"/>
                <w:szCs w:val="24"/>
                <w:lang w:val="en-GB"/>
              </w:rPr>
            </w:pPr>
            <w:r w:rsidRPr="00F30B77">
              <w:rPr>
                <w:rFonts w:asciiTheme="minorHAnsi" w:hAnsiTheme="minorHAnsi" w:cstheme="minorHAnsi"/>
                <w:sz w:val="24"/>
                <w:szCs w:val="24"/>
                <w:lang w:val="en-GB"/>
              </w:rPr>
              <w:t>CASE STUDY</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859A" w14:textId="77777777" w:rsidR="007A4968" w:rsidRDefault="007A4968" w:rsidP="00AC1BFA">
      <w:r>
        <w:separator/>
      </w:r>
    </w:p>
  </w:endnote>
  <w:endnote w:type="continuationSeparator" w:id="0">
    <w:p w14:paraId="4B06F0E3" w14:textId="77777777" w:rsidR="007A4968" w:rsidRDefault="007A4968"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61B1" w14:textId="77777777" w:rsidR="007A4968" w:rsidRDefault="007A4968" w:rsidP="00AC1BFA">
      <w:r>
        <w:separator/>
      </w:r>
    </w:p>
  </w:footnote>
  <w:footnote w:type="continuationSeparator" w:id="0">
    <w:p w14:paraId="654504AA" w14:textId="77777777" w:rsidR="007A4968" w:rsidRDefault="007A4968"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B4F1A9"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95F10"/>
    <w:rsid w:val="001269B3"/>
    <w:rsid w:val="001C1A4A"/>
    <w:rsid w:val="00223606"/>
    <w:rsid w:val="002510F0"/>
    <w:rsid w:val="003028D7"/>
    <w:rsid w:val="00463A4B"/>
    <w:rsid w:val="005B2BC0"/>
    <w:rsid w:val="00601A72"/>
    <w:rsid w:val="00784D2A"/>
    <w:rsid w:val="007A4968"/>
    <w:rsid w:val="009A6943"/>
    <w:rsid w:val="009E0484"/>
    <w:rsid w:val="00AC1BFA"/>
    <w:rsid w:val="00E60C4D"/>
    <w:rsid w:val="00E6515C"/>
    <w:rsid w:val="00EF31FC"/>
    <w:rsid w:val="00F30B77"/>
    <w:rsid w:val="00FC69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Miriam Internet Web Solutions</cp:lastModifiedBy>
  <cp:revision>13</cp:revision>
  <dcterms:created xsi:type="dcterms:W3CDTF">2022-02-24T14:11:00Z</dcterms:created>
  <dcterms:modified xsi:type="dcterms:W3CDTF">2022-09-12T10:20:00Z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