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0DC6" w14:textId="77777777" w:rsidR="00F30B77" w:rsidRPr="00F30B77" w:rsidRDefault="00F30B77" w:rsidP="00F30B77">
      <w:pPr>
        <w:rPr>
          <w:rFonts w:asciiTheme="minorHAnsi" w:hAnsiTheme="minorHAnsi" w:cstheme="minorHAnsi"/>
          <w:b/>
          <w:bCs/>
          <w:color w:val="E12227"/>
          <w:sz w:val="24"/>
          <w:szCs w:val="24"/>
          <w:lang w:val="en-GB"/>
        </w:rPr>
      </w:pPr>
    </w:p>
    <w:p w14:paraId="024931A9" w14:textId="0B485A0A" w:rsidR="00F30B77" w:rsidRPr="00F30B77" w:rsidRDefault="00E95F1E" w:rsidP="00F30B77">
      <w:pPr>
        <w:ind w:left="567" w:hanging="425"/>
        <w:jc w:val="center"/>
        <w:rPr>
          <w:rFonts w:asciiTheme="minorHAnsi" w:hAnsiTheme="minorHAnsi" w:cstheme="minorHAnsi"/>
          <w:b/>
          <w:bCs/>
          <w:color w:val="FD4FB4"/>
          <w:sz w:val="36"/>
          <w:szCs w:val="36"/>
          <w:lang w:val="en-GB"/>
        </w:rPr>
      </w:pPr>
      <w:r>
        <w:rPr>
          <w:rFonts w:asciiTheme="minorHAnsi" w:hAnsiTheme="minorHAnsi" w:cstheme="minorHAnsi"/>
          <w:b/>
          <w:bCs/>
          <w:color w:val="FD4FB4"/>
          <w:sz w:val="36"/>
          <w:szCs w:val="36"/>
          <w:lang w:val="en-GB"/>
        </w:rPr>
        <w:t>Studija slučaja</w:t>
      </w:r>
    </w:p>
    <w:tbl>
      <w:tblPr>
        <w:tblStyle w:val="TableGrid"/>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F8583B">
        <w:trPr>
          <w:trHeight w:val="971"/>
        </w:trPr>
        <w:tc>
          <w:tcPr>
            <w:tcW w:w="2687" w:type="dxa"/>
            <w:shd w:val="clear" w:color="auto" w:fill="AB7ADC"/>
            <w:vAlign w:val="center"/>
          </w:tcPr>
          <w:p w14:paraId="438D67E8" w14:textId="05FB4B5F" w:rsidR="00F30B77" w:rsidRPr="00F30B77" w:rsidRDefault="00E95F1E" w:rsidP="00E95F1E">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Naziv studije slučaja</w:t>
            </w:r>
          </w:p>
        </w:tc>
        <w:tc>
          <w:tcPr>
            <w:tcW w:w="6567" w:type="dxa"/>
            <w:shd w:val="clear" w:color="auto" w:fill="FFFFFF" w:themeFill="background1"/>
            <w:vAlign w:val="center"/>
          </w:tcPr>
          <w:p w14:paraId="0DC823BA" w14:textId="45BA7829" w:rsidR="00F30B77" w:rsidRPr="00F30B77" w:rsidRDefault="003028D7" w:rsidP="00F8583B">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Socia</w:t>
            </w:r>
            <w:r w:rsidR="00E95F1E">
              <w:rPr>
                <w:rFonts w:asciiTheme="minorHAnsi" w:hAnsiTheme="minorHAnsi" w:cstheme="minorHAnsi"/>
                <w:color w:val="244061" w:themeColor="accent1" w:themeShade="80"/>
                <w:sz w:val="24"/>
                <w:szCs w:val="24"/>
                <w:lang w:val="en-GB"/>
              </w:rPr>
              <w:t>jalni k</w:t>
            </w:r>
            <w:r>
              <w:rPr>
                <w:rFonts w:asciiTheme="minorHAnsi" w:hAnsiTheme="minorHAnsi" w:cstheme="minorHAnsi"/>
                <w:color w:val="244061" w:themeColor="accent1" w:themeShade="80"/>
                <w:sz w:val="24"/>
                <w:szCs w:val="24"/>
                <w:lang w:val="en-GB"/>
              </w:rPr>
              <w:t>atering “El Avío”</w:t>
            </w:r>
          </w:p>
        </w:tc>
      </w:tr>
      <w:tr w:rsidR="00F30B77" w:rsidRPr="00F30B77" w14:paraId="20BA7E90" w14:textId="77777777" w:rsidTr="00F8583B">
        <w:trPr>
          <w:trHeight w:val="636"/>
        </w:trPr>
        <w:tc>
          <w:tcPr>
            <w:tcW w:w="2687" w:type="dxa"/>
            <w:shd w:val="clear" w:color="auto" w:fill="AB7ADC"/>
            <w:vAlign w:val="center"/>
          </w:tcPr>
          <w:p w14:paraId="30E0314A" w14:textId="1D48E86A" w:rsidR="00F30B77" w:rsidRPr="00F30B77" w:rsidRDefault="00E95F1E" w:rsidP="00F8583B">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Ključne reči</w:t>
            </w:r>
          </w:p>
        </w:tc>
        <w:tc>
          <w:tcPr>
            <w:tcW w:w="6567" w:type="dxa"/>
            <w:shd w:val="clear" w:color="auto" w:fill="FFFFFF" w:themeFill="background1"/>
            <w:vAlign w:val="center"/>
          </w:tcPr>
          <w:p w14:paraId="7232C4F2" w14:textId="1DA08E0B" w:rsidR="00F30B77" w:rsidRPr="00F30B77" w:rsidRDefault="003028D7" w:rsidP="00F8583B">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Soci</w:t>
            </w:r>
            <w:r w:rsidR="00E95F1E">
              <w:rPr>
                <w:rFonts w:asciiTheme="minorHAnsi" w:hAnsiTheme="minorHAnsi" w:cstheme="minorHAnsi"/>
                <w:color w:val="244061" w:themeColor="accent1" w:themeShade="80"/>
                <w:sz w:val="24"/>
                <w:szCs w:val="24"/>
                <w:lang w:val="en-GB"/>
              </w:rPr>
              <w:t>jalno preduzetništvo</w:t>
            </w:r>
            <w:r>
              <w:rPr>
                <w:rFonts w:asciiTheme="minorHAnsi" w:hAnsiTheme="minorHAnsi" w:cstheme="minorHAnsi"/>
                <w:color w:val="244061" w:themeColor="accent1" w:themeShade="80"/>
                <w:sz w:val="24"/>
                <w:szCs w:val="24"/>
                <w:lang w:val="en-GB"/>
              </w:rPr>
              <w:t xml:space="preserve">, </w:t>
            </w:r>
            <w:r w:rsidR="00E95F1E">
              <w:rPr>
                <w:rFonts w:asciiTheme="minorHAnsi" w:hAnsiTheme="minorHAnsi" w:cstheme="minorHAnsi"/>
                <w:color w:val="244061" w:themeColor="accent1" w:themeShade="80"/>
                <w:sz w:val="24"/>
                <w:szCs w:val="24"/>
                <w:lang w:val="en-GB"/>
              </w:rPr>
              <w:t>k</w:t>
            </w:r>
            <w:r>
              <w:rPr>
                <w:rFonts w:asciiTheme="minorHAnsi" w:hAnsiTheme="minorHAnsi" w:cstheme="minorHAnsi"/>
                <w:color w:val="244061" w:themeColor="accent1" w:themeShade="80"/>
                <w:sz w:val="24"/>
                <w:szCs w:val="24"/>
                <w:lang w:val="en-GB"/>
              </w:rPr>
              <w:t xml:space="preserve">atering, </w:t>
            </w:r>
            <w:r w:rsidR="00E95F1E">
              <w:rPr>
                <w:rFonts w:asciiTheme="minorHAnsi" w:hAnsiTheme="minorHAnsi" w:cstheme="minorHAnsi"/>
                <w:color w:val="244061" w:themeColor="accent1" w:themeShade="80"/>
                <w:sz w:val="24"/>
                <w:szCs w:val="24"/>
                <w:lang w:val="en-GB"/>
              </w:rPr>
              <w:t>žene</w:t>
            </w:r>
            <w:r w:rsidR="009A6943">
              <w:rPr>
                <w:rFonts w:asciiTheme="minorHAnsi" w:hAnsiTheme="minorHAnsi" w:cstheme="minorHAnsi"/>
                <w:color w:val="244061" w:themeColor="accent1" w:themeShade="80"/>
                <w:sz w:val="24"/>
                <w:szCs w:val="24"/>
                <w:lang w:val="en-GB"/>
              </w:rPr>
              <w:t xml:space="preserve">, </w:t>
            </w:r>
            <w:r w:rsidR="00E95F1E">
              <w:rPr>
                <w:rFonts w:asciiTheme="minorHAnsi" w:hAnsiTheme="minorHAnsi" w:cstheme="minorHAnsi"/>
                <w:color w:val="244061" w:themeColor="accent1" w:themeShade="80"/>
                <w:sz w:val="24"/>
                <w:szCs w:val="24"/>
                <w:lang w:val="en-GB"/>
              </w:rPr>
              <w:t>udruženja</w:t>
            </w:r>
          </w:p>
        </w:tc>
      </w:tr>
      <w:tr w:rsidR="00F30B77" w:rsidRPr="00F30B77" w14:paraId="7EF91B33" w14:textId="77777777" w:rsidTr="00F8583B">
        <w:trPr>
          <w:trHeight w:val="636"/>
        </w:trPr>
        <w:tc>
          <w:tcPr>
            <w:tcW w:w="2687" w:type="dxa"/>
            <w:shd w:val="clear" w:color="auto" w:fill="AB7ADC"/>
            <w:vAlign w:val="center"/>
          </w:tcPr>
          <w:p w14:paraId="2D961D86" w14:textId="41B36B61" w:rsidR="00F8583B" w:rsidRPr="00F30B77" w:rsidRDefault="00E95F1E" w:rsidP="00F8583B">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Pripremio</w:t>
            </w:r>
          </w:p>
        </w:tc>
        <w:tc>
          <w:tcPr>
            <w:tcW w:w="6567" w:type="dxa"/>
            <w:shd w:val="clear" w:color="auto" w:fill="FFFFFF" w:themeFill="background1"/>
            <w:vAlign w:val="center"/>
          </w:tcPr>
          <w:p w14:paraId="1A4C5F84" w14:textId="33760AF9" w:rsidR="00F30B77" w:rsidRPr="00F30B77" w:rsidRDefault="00E6515C" w:rsidP="00F8583B">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Internet Web Solutions</w:t>
            </w:r>
          </w:p>
        </w:tc>
      </w:tr>
      <w:tr w:rsidR="00F30B77" w:rsidRPr="00F30B77" w14:paraId="1A8A29FB" w14:textId="77777777" w:rsidTr="00F8583B">
        <w:trPr>
          <w:trHeight w:val="600"/>
        </w:trPr>
        <w:tc>
          <w:tcPr>
            <w:tcW w:w="2687" w:type="dxa"/>
            <w:shd w:val="clear" w:color="auto" w:fill="AB7ADC"/>
            <w:vAlign w:val="center"/>
          </w:tcPr>
          <w:p w14:paraId="359561F9" w14:textId="590690DA" w:rsidR="00F30B77" w:rsidRPr="00F30B77" w:rsidRDefault="00E95F1E"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Jezik</w:t>
            </w:r>
          </w:p>
        </w:tc>
        <w:tc>
          <w:tcPr>
            <w:tcW w:w="6567" w:type="dxa"/>
            <w:shd w:val="clear" w:color="auto" w:fill="FFFFFF" w:themeFill="background1"/>
            <w:vAlign w:val="center"/>
          </w:tcPr>
          <w:p w14:paraId="3EDC5D68" w14:textId="6D84B484" w:rsidR="00F30B77" w:rsidRPr="00F30B77" w:rsidRDefault="00E95F1E" w:rsidP="00F8583B">
            <w:pPr>
              <w:rPr>
                <w:rFonts w:asciiTheme="minorHAnsi" w:hAnsiTheme="minorHAnsi" w:cstheme="minorHAnsi"/>
                <w:sz w:val="24"/>
                <w:szCs w:val="24"/>
                <w:lang w:val="en-GB"/>
              </w:rPr>
            </w:pPr>
            <w:r>
              <w:rPr>
                <w:rFonts w:asciiTheme="minorHAnsi" w:hAnsiTheme="minorHAnsi" w:cstheme="minorHAnsi"/>
                <w:sz w:val="24"/>
                <w:szCs w:val="24"/>
                <w:lang w:val="en-GB"/>
              </w:rPr>
              <w:t>Srpski</w:t>
            </w:r>
          </w:p>
          <w:p w14:paraId="26F8315B" w14:textId="77777777" w:rsidR="00F30B77" w:rsidRPr="00F30B77" w:rsidRDefault="00F30B77" w:rsidP="00F8583B">
            <w:pPr>
              <w:rPr>
                <w:rFonts w:asciiTheme="minorHAnsi" w:hAnsiTheme="minorHAnsi" w:cstheme="minorHAnsi"/>
                <w:color w:val="244061" w:themeColor="accent1" w:themeShade="80"/>
                <w:sz w:val="24"/>
                <w:szCs w:val="24"/>
                <w:lang w:val="en-GB"/>
              </w:rPr>
            </w:pPr>
          </w:p>
        </w:tc>
      </w:tr>
      <w:tr w:rsidR="00F30B77" w:rsidRPr="00F30B77" w14:paraId="1830E6B7" w14:textId="77777777" w:rsidTr="00F30B77">
        <w:trPr>
          <w:trHeight w:val="264"/>
        </w:trPr>
        <w:tc>
          <w:tcPr>
            <w:tcW w:w="9254" w:type="dxa"/>
            <w:gridSpan w:val="2"/>
            <w:shd w:val="clear" w:color="auto" w:fill="AB7ADC"/>
            <w:vAlign w:val="center"/>
          </w:tcPr>
          <w:p w14:paraId="41794552" w14:textId="029288BF" w:rsidR="00F30B77" w:rsidRPr="00F30B77" w:rsidRDefault="00E95F1E" w:rsidP="00F30B77">
            <w:pPr>
              <w:rPr>
                <w:rFonts w:asciiTheme="minorHAnsi" w:hAnsiTheme="minorHAnsi" w:cstheme="minorHAnsi"/>
                <w:b/>
                <w:color w:val="FFFFFF"/>
                <w:sz w:val="24"/>
                <w:szCs w:val="24"/>
                <w:lang w:val="en-GB"/>
              </w:rPr>
            </w:pPr>
            <w:r>
              <w:rPr>
                <w:rFonts w:asciiTheme="minorHAnsi" w:hAnsiTheme="minorHAnsi" w:cstheme="minorHAnsi"/>
                <w:b/>
                <w:color w:val="FFFFFF"/>
                <w:sz w:val="24"/>
                <w:szCs w:val="24"/>
                <w:lang w:val="en-GB"/>
              </w:rPr>
              <w:t>Studija slučaja</w:t>
            </w:r>
          </w:p>
          <w:p w14:paraId="64652B09" w14:textId="77777777" w:rsidR="00F30B77" w:rsidRPr="00F30B77" w:rsidRDefault="00F30B77" w:rsidP="00F30B77">
            <w:pPr>
              <w:rPr>
                <w:rFonts w:asciiTheme="minorHAnsi" w:hAnsiTheme="minorHAnsi" w:cstheme="minorHAnsi"/>
                <w:sz w:val="24"/>
                <w:szCs w:val="24"/>
                <w:lang w:val="en-GB"/>
              </w:rPr>
            </w:pPr>
          </w:p>
        </w:tc>
      </w:tr>
      <w:tr w:rsidR="00F30B77" w:rsidRPr="00F30B77" w14:paraId="0FF4D4CD" w14:textId="77777777" w:rsidTr="004B3EB5">
        <w:trPr>
          <w:trHeight w:val="70"/>
        </w:trPr>
        <w:tc>
          <w:tcPr>
            <w:tcW w:w="9254" w:type="dxa"/>
            <w:gridSpan w:val="2"/>
            <w:shd w:val="clear" w:color="auto" w:fill="auto"/>
          </w:tcPr>
          <w:p w14:paraId="29DBC2D8" w14:textId="54FABA10" w:rsidR="00210BC6" w:rsidRPr="00210BC6" w:rsidRDefault="00210BC6" w:rsidP="00210BC6">
            <w:pPr>
              <w:widowControl/>
              <w:pBdr>
                <w:top w:val="nil"/>
                <w:left w:val="nil"/>
                <w:bottom w:val="nil"/>
                <w:right w:val="nil"/>
                <w:between w:val="nil"/>
              </w:pBdr>
              <w:autoSpaceDE/>
              <w:autoSpaceDN/>
              <w:spacing w:line="276" w:lineRule="auto"/>
              <w:jc w:val="both"/>
              <w:rPr>
                <w:rFonts w:ascii="Calibri" w:eastAsia="Calibri" w:hAnsi="Calibri" w:cs="Calibri"/>
                <w:color w:val="000000"/>
                <w:sz w:val="24"/>
                <w:szCs w:val="24"/>
                <w:lang w:val="en-GB"/>
              </w:rPr>
            </w:pPr>
            <w:r w:rsidRPr="00210BC6">
              <w:rPr>
                <w:rFonts w:ascii="Calibri" w:eastAsia="Calibri" w:hAnsi="Calibri" w:cs="Calibri"/>
                <w:color w:val="000000"/>
                <w:sz w:val="24"/>
                <w:szCs w:val="24"/>
                <w:lang w:val="en-GB"/>
              </w:rPr>
              <w:t xml:space="preserve">2010. godine u ruralnom području Kampo de Gibraltar, na jugu Španije, Udruženje „El Avio“ osnovale su na početku 4 žene, sa ciljem da pokriju potrebe kvalitetne hrane kod kuće u vrtićima i u domovi izdržavanih i starih ljudi u okolini. Tako su te iste godine 4 žene počele da pružaju ketering centrima za </w:t>
            </w:r>
            <w:r>
              <w:rPr>
                <w:rFonts w:ascii="Calibri" w:eastAsia="Calibri" w:hAnsi="Calibri" w:cs="Calibri"/>
                <w:color w:val="000000"/>
                <w:sz w:val="24"/>
                <w:szCs w:val="24"/>
                <w:lang w:val="en-GB"/>
              </w:rPr>
              <w:t>predškolsko</w:t>
            </w:r>
            <w:r w:rsidRPr="00210BC6">
              <w:rPr>
                <w:rFonts w:ascii="Calibri" w:eastAsia="Calibri" w:hAnsi="Calibri" w:cs="Calibri"/>
                <w:color w:val="000000"/>
                <w:sz w:val="24"/>
                <w:szCs w:val="24"/>
                <w:lang w:val="en-GB"/>
              </w:rPr>
              <w:t xml:space="preserve"> obrazovanje, kao neprofitna ugostiteljska kompanija.</w:t>
            </w:r>
          </w:p>
          <w:p w14:paraId="6ECE9C6D" w14:textId="77777777" w:rsidR="00210BC6" w:rsidRPr="00210BC6" w:rsidRDefault="00210BC6" w:rsidP="00210BC6">
            <w:pPr>
              <w:widowControl/>
              <w:pBdr>
                <w:top w:val="nil"/>
                <w:left w:val="nil"/>
                <w:bottom w:val="nil"/>
                <w:right w:val="nil"/>
                <w:between w:val="nil"/>
              </w:pBdr>
              <w:autoSpaceDE/>
              <w:autoSpaceDN/>
              <w:spacing w:line="276" w:lineRule="auto"/>
              <w:jc w:val="both"/>
              <w:rPr>
                <w:rFonts w:ascii="Calibri" w:eastAsia="Calibri" w:hAnsi="Calibri" w:cs="Calibri"/>
                <w:color w:val="000000"/>
                <w:sz w:val="24"/>
                <w:szCs w:val="24"/>
                <w:lang w:val="en-GB"/>
              </w:rPr>
            </w:pPr>
          </w:p>
          <w:p w14:paraId="0753F823" w14:textId="1709690E" w:rsidR="00210BC6" w:rsidRPr="00210BC6" w:rsidRDefault="00210BC6" w:rsidP="00210BC6">
            <w:pPr>
              <w:widowControl/>
              <w:pBdr>
                <w:top w:val="nil"/>
                <w:left w:val="nil"/>
                <w:bottom w:val="nil"/>
                <w:right w:val="nil"/>
                <w:between w:val="nil"/>
              </w:pBdr>
              <w:autoSpaceDE/>
              <w:autoSpaceDN/>
              <w:spacing w:line="276" w:lineRule="auto"/>
              <w:jc w:val="both"/>
              <w:rPr>
                <w:rFonts w:ascii="Calibri" w:eastAsia="Calibri" w:hAnsi="Calibri" w:cs="Calibri"/>
                <w:color w:val="000000"/>
                <w:sz w:val="24"/>
                <w:szCs w:val="24"/>
                <w:lang w:val="en-GB"/>
              </w:rPr>
            </w:pPr>
            <w:r w:rsidRPr="00210BC6">
              <w:rPr>
                <w:rFonts w:ascii="Calibri" w:eastAsia="Calibri" w:hAnsi="Calibri" w:cs="Calibri"/>
                <w:color w:val="000000"/>
                <w:sz w:val="24"/>
                <w:szCs w:val="24"/>
                <w:lang w:val="en-GB"/>
              </w:rPr>
              <w:t xml:space="preserve">Godinama kasnije, 2013. godine, udruženje je konstituisano kao udruženje žena posebno za </w:t>
            </w:r>
            <w:r>
              <w:rPr>
                <w:rFonts w:ascii="Calibri" w:eastAsia="Calibri" w:hAnsi="Calibri" w:cs="Calibri"/>
                <w:color w:val="000000"/>
                <w:sz w:val="24"/>
                <w:szCs w:val="24"/>
                <w:lang w:val="en-GB"/>
              </w:rPr>
              <w:t xml:space="preserve">upravljanje </w:t>
            </w:r>
            <w:r w:rsidRPr="00210BC6">
              <w:rPr>
                <w:rFonts w:ascii="Calibri" w:eastAsia="Calibri" w:hAnsi="Calibri" w:cs="Calibri"/>
                <w:color w:val="000000"/>
                <w:sz w:val="24"/>
                <w:szCs w:val="24"/>
                <w:lang w:val="en-GB"/>
              </w:rPr>
              <w:t>ugostiteljs</w:t>
            </w:r>
            <w:r>
              <w:rPr>
                <w:rFonts w:ascii="Calibri" w:eastAsia="Calibri" w:hAnsi="Calibri" w:cs="Calibri"/>
                <w:color w:val="000000"/>
                <w:sz w:val="24"/>
                <w:szCs w:val="24"/>
                <w:lang w:val="en-GB"/>
              </w:rPr>
              <w:t>tvom</w:t>
            </w:r>
            <w:r w:rsidRPr="00210BC6">
              <w:rPr>
                <w:rFonts w:ascii="Calibri" w:eastAsia="Calibri" w:hAnsi="Calibri" w:cs="Calibri"/>
                <w:color w:val="000000"/>
                <w:sz w:val="24"/>
                <w:szCs w:val="24"/>
                <w:lang w:val="en-GB"/>
              </w:rPr>
              <w:t xml:space="preserve">, </w:t>
            </w:r>
            <w:r>
              <w:rPr>
                <w:rFonts w:ascii="Calibri" w:eastAsia="Calibri" w:hAnsi="Calibri" w:cs="Calibri"/>
                <w:color w:val="000000"/>
                <w:sz w:val="24"/>
                <w:szCs w:val="24"/>
                <w:lang w:val="en-GB"/>
              </w:rPr>
              <w:t>olakša</w:t>
            </w:r>
            <w:r w:rsidRPr="00210BC6">
              <w:rPr>
                <w:rFonts w:ascii="Calibri" w:eastAsia="Calibri" w:hAnsi="Calibri" w:cs="Calibri"/>
                <w:color w:val="000000"/>
                <w:sz w:val="24"/>
                <w:szCs w:val="24"/>
                <w:lang w:val="en-GB"/>
              </w:rPr>
              <w:t>vajući obim posla koji se tradicionalno vezuje za žene i istovremeno otvarajući pristojna radna mesta, jer su neke od žena koje rade u udruženju bile dugotrajno nezaposlene i nisu imale posebnu obuku. Udruženje je angažovalo profesionalnog kuvara da obuči žene za industrijsku kuhinju i one su malo po malo napredovale, povećavajući i broj ljudi koje su hranile i broj radnica. Kao rezultat toga, sada imaju 13 žena koje kuvaju, dostavljaju i administrativno osoblje, koje svakog dana isporučuju više od 500 obroka dnevno deci i  starima</w:t>
            </w:r>
            <w:r>
              <w:rPr>
                <w:rFonts w:ascii="Calibri" w:eastAsia="Calibri" w:hAnsi="Calibri" w:cs="Calibri"/>
                <w:color w:val="000000"/>
                <w:sz w:val="24"/>
                <w:szCs w:val="24"/>
                <w:lang w:val="en-GB"/>
              </w:rPr>
              <w:t xml:space="preserve"> (za njih </w:t>
            </w:r>
            <w:r w:rsidRPr="00210BC6">
              <w:rPr>
                <w:rFonts w:ascii="Calibri" w:eastAsia="Calibri" w:hAnsi="Calibri" w:cs="Calibri"/>
                <w:color w:val="000000"/>
                <w:sz w:val="24"/>
                <w:szCs w:val="24"/>
                <w:lang w:val="en-GB"/>
              </w:rPr>
              <w:t>80</w:t>
            </w:r>
            <w:r>
              <w:rPr>
                <w:rFonts w:ascii="Calibri" w:eastAsia="Calibri" w:hAnsi="Calibri" w:cs="Calibri"/>
                <w:color w:val="000000"/>
                <w:sz w:val="24"/>
                <w:szCs w:val="24"/>
                <w:lang w:val="en-GB"/>
              </w:rPr>
              <w:t>)</w:t>
            </w:r>
            <w:r w:rsidRPr="00210BC6">
              <w:rPr>
                <w:rFonts w:ascii="Calibri" w:eastAsia="Calibri" w:hAnsi="Calibri" w:cs="Calibri"/>
                <w:color w:val="000000"/>
                <w:sz w:val="24"/>
                <w:szCs w:val="24"/>
                <w:lang w:val="en-GB"/>
              </w:rPr>
              <w:t>, izdržavanim licima i imigrantima.</w:t>
            </w:r>
          </w:p>
          <w:p w14:paraId="3B6317FA" w14:textId="77777777" w:rsidR="00210BC6" w:rsidRPr="00210BC6" w:rsidRDefault="00210BC6" w:rsidP="00210BC6">
            <w:pPr>
              <w:widowControl/>
              <w:pBdr>
                <w:top w:val="nil"/>
                <w:left w:val="nil"/>
                <w:bottom w:val="nil"/>
                <w:right w:val="nil"/>
                <w:between w:val="nil"/>
              </w:pBdr>
              <w:autoSpaceDE/>
              <w:autoSpaceDN/>
              <w:spacing w:line="276" w:lineRule="auto"/>
              <w:jc w:val="both"/>
              <w:rPr>
                <w:rFonts w:ascii="Calibri" w:eastAsia="Calibri" w:hAnsi="Calibri" w:cs="Calibri"/>
                <w:color w:val="000000"/>
                <w:sz w:val="24"/>
                <w:szCs w:val="24"/>
                <w:lang w:val="en-GB"/>
              </w:rPr>
            </w:pPr>
          </w:p>
          <w:p w14:paraId="10D67FE3" w14:textId="54F9FE98" w:rsidR="00F30B77" w:rsidRPr="009A6943" w:rsidRDefault="00210BC6" w:rsidP="003028D7">
            <w:pPr>
              <w:pBdr>
                <w:top w:val="nil"/>
                <w:left w:val="nil"/>
                <w:bottom w:val="nil"/>
                <w:right w:val="nil"/>
                <w:between w:val="nil"/>
              </w:pBdr>
              <w:spacing w:line="276" w:lineRule="auto"/>
              <w:jc w:val="both"/>
              <w:rPr>
                <w:rFonts w:ascii="Calibri" w:eastAsia="Calibri" w:hAnsi="Calibri" w:cs="Calibri"/>
                <w:color w:val="000000"/>
                <w:sz w:val="24"/>
                <w:szCs w:val="24"/>
                <w:lang w:val="en-GB"/>
              </w:rPr>
            </w:pPr>
            <w:r w:rsidRPr="00210BC6">
              <w:rPr>
                <w:rFonts w:ascii="Calibri" w:eastAsia="Calibri" w:hAnsi="Calibri" w:cs="Calibri"/>
                <w:color w:val="000000"/>
                <w:sz w:val="24"/>
                <w:szCs w:val="24"/>
                <w:lang w:val="en-GB"/>
              </w:rPr>
              <w:t xml:space="preserve">Ovaj slučaj je značajan primer kako su seoske žene svoju ulogu u društvu, koja obično podrazumeva brigu o deci i starim i izdržavanim licima, pretvorile u vidljiv posao kroz socijalno preduzetništvo koje ne samo da doprinosi razvoju ruralnih područja, već i unapređuje kvalitet života seoskih žena nudeći im kvalitetne poslove i </w:t>
            </w:r>
            <w:r w:rsidR="004B3EB5">
              <w:rPr>
                <w:rFonts w:ascii="Calibri" w:eastAsia="Calibri" w:hAnsi="Calibri" w:cs="Calibri"/>
                <w:color w:val="000000"/>
                <w:sz w:val="24"/>
                <w:szCs w:val="24"/>
                <w:lang w:val="en-GB"/>
              </w:rPr>
              <w:t>stvarajuć</w:t>
            </w:r>
            <w:r w:rsidRPr="00210BC6">
              <w:rPr>
                <w:rFonts w:ascii="Calibri" w:eastAsia="Calibri" w:hAnsi="Calibri" w:cs="Calibri"/>
                <w:color w:val="000000"/>
                <w:sz w:val="24"/>
                <w:szCs w:val="24"/>
                <w:lang w:val="en-GB"/>
              </w:rPr>
              <w:t>i nove mogućnosti.</w:t>
            </w:r>
          </w:p>
        </w:tc>
      </w:tr>
      <w:tr w:rsidR="00F30B77" w:rsidRPr="00F30B77" w14:paraId="7A6D0831" w14:textId="77777777" w:rsidTr="00F30B77">
        <w:trPr>
          <w:trHeight w:val="475"/>
        </w:trPr>
        <w:tc>
          <w:tcPr>
            <w:tcW w:w="2687" w:type="dxa"/>
            <w:shd w:val="clear" w:color="auto" w:fill="AB7ADC"/>
            <w:vAlign w:val="center"/>
          </w:tcPr>
          <w:p w14:paraId="3E946BD4" w14:textId="3593FA23" w:rsidR="00F30B77" w:rsidRPr="00F30B77" w:rsidRDefault="00F30B77" w:rsidP="00F30B77">
            <w:pPr>
              <w:rPr>
                <w:rFonts w:asciiTheme="minorHAnsi" w:hAnsiTheme="minorHAnsi" w:cstheme="minorHAnsi"/>
                <w:b/>
                <w:bCs/>
                <w:color w:val="FFFFFF" w:themeColor="background1"/>
                <w:sz w:val="24"/>
                <w:szCs w:val="24"/>
                <w:lang w:val="en-GB"/>
              </w:rPr>
            </w:pPr>
            <w:r w:rsidRPr="00F30B77">
              <w:rPr>
                <w:rFonts w:asciiTheme="minorHAnsi" w:hAnsiTheme="minorHAnsi" w:cstheme="minorHAnsi"/>
                <w:b/>
                <w:color w:val="FFFFFF"/>
                <w:sz w:val="24"/>
                <w:szCs w:val="24"/>
                <w:lang w:val="en-GB"/>
              </w:rPr>
              <w:t>Referen</w:t>
            </w:r>
            <w:r w:rsidR="003A4A1D">
              <w:rPr>
                <w:rFonts w:asciiTheme="minorHAnsi" w:hAnsiTheme="minorHAnsi" w:cstheme="minorHAnsi"/>
                <w:b/>
                <w:color w:val="FFFFFF"/>
                <w:sz w:val="24"/>
                <w:szCs w:val="24"/>
                <w:lang w:val="en-GB"/>
              </w:rPr>
              <w:t xml:space="preserve">tni link </w:t>
            </w:r>
          </w:p>
        </w:tc>
        <w:tc>
          <w:tcPr>
            <w:tcW w:w="6567" w:type="dxa"/>
          </w:tcPr>
          <w:p w14:paraId="5EF9760F" w14:textId="77777777" w:rsidR="00F30B77" w:rsidRPr="00F30B77" w:rsidRDefault="00F30B77" w:rsidP="00F30B77">
            <w:pPr>
              <w:ind w:left="708"/>
              <w:textAlignment w:val="baseline"/>
              <w:rPr>
                <w:rFonts w:asciiTheme="minorHAnsi" w:hAnsiTheme="minorHAnsi" w:cstheme="minorHAnsi"/>
                <w:color w:val="243255"/>
                <w:sz w:val="24"/>
                <w:szCs w:val="24"/>
                <w:lang w:val="en-GB" w:eastAsia="en-GB"/>
              </w:rPr>
            </w:pPr>
          </w:p>
          <w:p w14:paraId="233319AF" w14:textId="77777777" w:rsidR="00F30B77" w:rsidRPr="00F30B77" w:rsidRDefault="00F30B77" w:rsidP="00F30B77">
            <w:pPr>
              <w:ind w:left="708"/>
              <w:textAlignment w:val="baseline"/>
              <w:rPr>
                <w:rFonts w:asciiTheme="minorHAnsi" w:hAnsiTheme="minorHAnsi" w:cstheme="minorHAnsi"/>
                <w:color w:val="243255"/>
                <w:sz w:val="24"/>
                <w:szCs w:val="24"/>
                <w:lang w:val="en-GB" w:eastAsia="en-GB"/>
              </w:rPr>
            </w:pPr>
          </w:p>
        </w:tc>
      </w:tr>
      <w:tr w:rsidR="00F30B77" w:rsidRPr="00F30B77" w14:paraId="0ECB3292" w14:textId="77777777" w:rsidTr="00F30B77">
        <w:trPr>
          <w:trHeight w:val="475"/>
        </w:trPr>
        <w:tc>
          <w:tcPr>
            <w:tcW w:w="2687" w:type="dxa"/>
            <w:shd w:val="clear" w:color="auto" w:fill="AB7ADC"/>
            <w:vAlign w:val="center"/>
          </w:tcPr>
          <w:p w14:paraId="43E033CA" w14:textId="0DBBFF0B" w:rsidR="00F30B77" w:rsidRPr="00F30B77" w:rsidRDefault="003A4A1D"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Vrsta</w:t>
            </w:r>
            <w:r w:rsidR="00F30B77" w:rsidRPr="00F30B77">
              <w:rPr>
                <w:rFonts w:asciiTheme="minorHAnsi" w:hAnsiTheme="minorHAnsi" w:cstheme="minorHAnsi"/>
                <w:b/>
                <w:color w:val="FFFFFF"/>
                <w:sz w:val="24"/>
                <w:szCs w:val="24"/>
                <w:lang w:val="en-GB"/>
              </w:rPr>
              <w:t xml:space="preserve"> materia</w:t>
            </w:r>
            <w:r>
              <w:rPr>
                <w:rFonts w:asciiTheme="minorHAnsi" w:hAnsiTheme="minorHAnsi" w:cstheme="minorHAnsi"/>
                <w:b/>
                <w:color w:val="FFFFFF"/>
                <w:sz w:val="24"/>
                <w:szCs w:val="24"/>
                <w:lang w:val="en-GB"/>
              </w:rPr>
              <w:t>jala</w:t>
            </w:r>
          </w:p>
        </w:tc>
        <w:tc>
          <w:tcPr>
            <w:tcW w:w="6567" w:type="dxa"/>
          </w:tcPr>
          <w:p w14:paraId="0B2FAD1E" w14:textId="53C692AD" w:rsidR="00F30B77" w:rsidRPr="00F30B77" w:rsidRDefault="003A4A1D" w:rsidP="00F30B77">
            <w:pPr>
              <w:textAlignment w:val="baseline"/>
              <w:rPr>
                <w:rFonts w:asciiTheme="minorHAnsi" w:hAnsiTheme="minorHAnsi" w:cstheme="minorHAnsi"/>
                <w:sz w:val="24"/>
                <w:szCs w:val="24"/>
                <w:lang w:val="en-GB"/>
              </w:rPr>
            </w:pPr>
            <w:r>
              <w:rPr>
                <w:rFonts w:asciiTheme="minorHAnsi" w:hAnsiTheme="minorHAnsi" w:cstheme="minorHAnsi"/>
                <w:sz w:val="24"/>
                <w:szCs w:val="24"/>
                <w:lang w:val="en-GB"/>
              </w:rPr>
              <w:t>Studija slučaja</w:t>
            </w:r>
          </w:p>
          <w:p w14:paraId="3F111E7B" w14:textId="77777777" w:rsidR="00F30B77" w:rsidRPr="00F30B77" w:rsidRDefault="00F30B77" w:rsidP="00F30B77">
            <w:pPr>
              <w:textAlignment w:val="baseline"/>
              <w:rPr>
                <w:rFonts w:asciiTheme="minorHAnsi" w:hAnsiTheme="minorHAnsi" w:cstheme="minorHAnsi"/>
                <w:color w:val="243255"/>
                <w:sz w:val="24"/>
                <w:szCs w:val="24"/>
                <w:lang w:val="en-GB" w:eastAsia="en-GB"/>
              </w:rPr>
            </w:pP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7"/>
      <w:footerReference w:type="default" r:id="rId8"/>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F84BD" w14:textId="77777777" w:rsidR="00235B56" w:rsidRDefault="00235B56" w:rsidP="00AC1BFA">
      <w:r>
        <w:separator/>
      </w:r>
    </w:p>
  </w:endnote>
  <w:endnote w:type="continuationSeparator" w:id="0">
    <w:p w14:paraId="682C5EE0" w14:textId="77777777" w:rsidR="00235B56" w:rsidRDefault="00235B56"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Footer"/>
    </w:pPr>
    <w:r>
      <w:rPr>
        <w:noProof/>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BB7E0" w14:textId="77777777" w:rsidR="00235B56" w:rsidRDefault="00235B56" w:rsidP="00AC1BFA">
      <w:r>
        <w:separator/>
      </w:r>
    </w:p>
  </w:footnote>
  <w:footnote w:type="continuationSeparator" w:id="0">
    <w:p w14:paraId="3ECB10AA" w14:textId="77777777" w:rsidR="00235B56" w:rsidRDefault="00235B56"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Header"/>
      <w:jc w:val="center"/>
    </w:pPr>
  </w:p>
  <w:p w14:paraId="26F088FD" w14:textId="77777777" w:rsidR="001C1A4A" w:rsidRDefault="001C1A4A" w:rsidP="00AC1BFA">
    <w:pPr>
      <w:pStyle w:val="Header"/>
      <w:jc w:val="center"/>
    </w:pPr>
  </w:p>
  <w:p w14:paraId="4639DD17" w14:textId="77777777" w:rsidR="00AC1BFA" w:rsidRDefault="00AC1BFA" w:rsidP="00AC1BFA">
    <w:pPr>
      <w:pStyle w:val="Header"/>
      <w:jc w:val="center"/>
    </w:pPr>
  </w:p>
  <w:p w14:paraId="1BF0590B" w14:textId="77777777" w:rsidR="00AC1BFA" w:rsidRDefault="00AC1BFA" w:rsidP="00AC1BFA">
    <w:pPr>
      <w:pStyle w:val="Header"/>
      <w:jc w:val="center"/>
    </w:pPr>
  </w:p>
  <w:p w14:paraId="5A3DDAE2" w14:textId="77777777" w:rsidR="00AC1BFA" w:rsidRDefault="00AC1BFA" w:rsidP="00AC1BFA">
    <w:pPr>
      <w:pStyle w:val="Header"/>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Header"/>
      <w:jc w:val="center"/>
    </w:pPr>
    <w:r>
      <w:rPr>
        <w:noProof/>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0E18CA"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72"/>
    <w:rsid w:val="00095F10"/>
    <w:rsid w:val="001269B3"/>
    <w:rsid w:val="001C1A4A"/>
    <w:rsid w:val="00210BC6"/>
    <w:rsid w:val="00223606"/>
    <w:rsid w:val="00235B56"/>
    <w:rsid w:val="002510F0"/>
    <w:rsid w:val="003028D7"/>
    <w:rsid w:val="003A4A1D"/>
    <w:rsid w:val="00463A4B"/>
    <w:rsid w:val="004B3EB5"/>
    <w:rsid w:val="005B2BC0"/>
    <w:rsid w:val="00601A72"/>
    <w:rsid w:val="00767FE9"/>
    <w:rsid w:val="00784D2A"/>
    <w:rsid w:val="007A4968"/>
    <w:rsid w:val="009A6943"/>
    <w:rsid w:val="009E0484"/>
    <w:rsid w:val="00AC1BFA"/>
    <w:rsid w:val="00E60C4D"/>
    <w:rsid w:val="00E6515C"/>
    <w:rsid w:val="00E8309A"/>
    <w:rsid w:val="00E95F1E"/>
    <w:rsid w:val="00EF31FC"/>
    <w:rsid w:val="00F30B77"/>
    <w:rsid w:val="00F8583B"/>
    <w:rsid w:val="00FC699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8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A80B4-4036-4418-9971-3120944C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Marijana Božić</cp:lastModifiedBy>
  <cp:revision>7</cp:revision>
  <dcterms:created xsi:type="dcterms:W3CDTF">2023-02-03T10:26:00Z</dcterms:created>
  <dcterms:modified xsi:type="dcterms:W3CDTF">2023-02-03T10:36:00Z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